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9FF6" w14:textId="77777777" w:rsidR="0038457A" w:rsidRPr="00246136" w:rsidRDefault="00B06478" w:rsidP="00EE30E9">
      <w:pPr>
        <w:pStyle w:val="Heading1"/>
        <w:spacing w:before="120" w:after="360"/>
        <w:rPr>
          <w:sz w:val="48"/>
        </w:rPr>
      </w:pPr>
      <w:bookmarkStart w:id="0" w:name="_Toc443911209"/>
      <w:bookmarkStart w:id="1" w:name="_Toc443911225"/>
      <w:r>
        <w:rPr>
          <w:sz w:val="48"/>
        </w:rPr>
        <w:t>Rice</w:t>
      </w:r>
      <w:r w:rsidR="00F16333">
        <w:rPr>
          <w:sz w:val="48"/>
        </w:rPr>
        <w:t xml:space="preserve"> </w:t>
      </w:r>
      <w:r>
        <w:rPr>
          <w:sz w:val="48"/>
        </w:rPr>
        <w:t>2022</w:t>
      </w:r>
      <w:r w:rsidR="00EE30E9" w:rsidRPr="00246136">
        <w:rPr>
          <w:sz w:val="48"/>
        </w:rPr>
        <w:t xml:space="preserve"> Drinking Water Report</w:t>
      </w:r>
    </w:p>
    <w:p w14:paraId="050C001C" w14:textId="77777777" w:rsidR="00CC554A" w:rsidRPr="00E11F64" w:rsidRDefault="00FE1DDC" w:rsidP="00CC554A">
      <w:pPr>
        <w:pStyle w:val="Heading2"/>
      </w:pPr>
      <w:r>
        <w:t>Making Safe Drinking W</w:t>
      </w:r>
      <w:r w:rsidR="00CC554A">
        <w:t>ater</w:t>
      </w:r>
    </w:p>
    <w:p w14:paraId="34218A43"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three wells ranging from 80 to 105 feet deep, that draw water from the Quaternary Buried Artesian aquifer.</w:t>
      </w:r>
    </w:p>
    <w:p w14:paraId="560157B8" w14:textId="77777777" w:rsidR="00CC554A" w:rsidRDefault="00CC554A" w:rsidP="00CC554A">
      <w:r>
        <w:t>Rice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980240B" w14:textId="77777777" w:rsidR="00CC554A" w:rsidRDefault="00CC554A" w:rsidP="00CC554A">
      <w:r w:rsidRPr="00126DF7">
        <w:t>C</w:t>
      </w:r>
      <w:r w:rsidR="009D6BA8">
        <w:t>ontact</w:t>
      </w:r>
      <w:r>
        <w:t xml:space="preserve"> Julie Fandel, City Clerk, at 320-393-2280 or jfandel@ricemn.us</w:t>
      </w:r>
      <w:r w:rsidRPr="00126DF7">
        <w:t xml:space="preserve"> if you have questions about </w:t>
      </w:r>
      <w:r>
        <w:t>Rice’s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72819A96"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374D49B7"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14:paraId="753909A0" w14:textId="77777777" w:rsidR="0038457A" w:rsidRPr="00126DF7" w:rsidRDefault="004D155D" w:rsidP="00FE72F8">
      <w:pPr>
        <w:pStyle w:val="Heading2"/>
      </w:pPr>
      <w:r>
        <w:t xml:space="preserve">Rice </w:t>
      </w:r>
      <w:r w:rsidR="00903404">
        <w:t>Monitoring Results</w:t>
      </w:r>
    </w:p>
    <w:p w14:paraId="122A2E92" w14:textId="77777777" w:rsidR="008309B4" w:rsidRDefault="008309B4" w:rsidP="008309B4">
      <w:r>
        <w:t>This report contains our monitoring results from January 1 to December 31, 2022.</w:t>
      </w:r>
    </w:p>
    <w:p w14:paraId="5C6FFFC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6548D37"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5EBF117" w14:textId="77777777" w:rsidR="00CC554A" w:rsidRDefault="00CC554A" w:rsidP="00246136">
      <w:pPr>
        <w:pStyle w:val="Heading3"/>
        <w:spacing w:before="240"/>
      </w:pPr>
      <w:r>
        <w:t>How to Read the Water Quality Data Tables</w:t>
      </w:r>
    </w:p>
    <w:p w14:paraId="1999EA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5BD1EFF"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6B026F7B" w14:textId="77777777" w:rsidR="008309B4" w:rsidRDefault="008309B4" w:rsidP="7F75328D">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14:paraId="510D5D33" w14:textId="77777777" w:rsidR="00CB06DA" w:rsidRPr="00CB06DA" w:rsidRDefault="00CB06DA" w:rsidP="00CB06DA">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2E1BFAF" w14:textId="77777777" w:rsidR="0038457A" w:rsidRPr="0038457A" w:rsidRDefault="00115D1C" w:rsidP="00246136">
      <w:pPr>
        <w:pStyle w:val="Heading3"/>
        <w:spacing w:before="240"/>
      </w:pPr>
      <w:r>
        <w:t>Definitions</w:t>
      </w:r>
    </w:p>
    <w:p w14:paraId="0AED559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C44DC6E"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22820E02"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CC8CE71"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6675C392"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DED6A9D"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F1D1937"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785FD90"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5BFC1C9"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8E30519"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11E93C7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4877A93C" w14:textId="77777777" w:rsidTr="00EB5D09">
        <w:trPr>
          <w:cantSplit/>
        </w:trPr>
        <w:tc>
          <w:tcPr>
            <w:tcW w:w="10440" w:type="dxa"/>
          </w:tcPr>
          <w:p w14:paraId="654B212B"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A0" w:firstRow="1" w:lastRow="0" w:firstColumn="1" w:lastColumn="0" w:noHBand="0" w:noVBand="1"/>
            </w:tblPr>
            <w:tblGrid>
              <w:gridCol w:w="2488"/>
              <w:gridCol w:w="1136"/>
              <w:gridCol w:w="1136"/>
              <w:gridCol w:w="1463"/>
              <w:gridCol w:w="977"/>
              <w:gridCol w:w="1244"/>
              <w:gridCol w:w="1753"/>
            </w:tblGrid>
            <w:tr w:rsidR="00C84C60" w:rsidRPr="004F2371" w14:paraId="3473A3EA" w14:textId="77777777" w:rsidTr="00F9237E">
              <w:trPr>
                <w:tblHeader/>
              </w:trPr>
              <w:tc>
                <w:tcPr>
                  <w:tcW w:w="2488" w:type="dxa"/>
                  <w:shd w:val="clear" w:color="auto" w:fill="D9D9D9" w:themeFill="background2" w:themeFillShade="D9"/>
                  <w:vAlign w:val="center"/>
                </w:tcPr>
                <w:p w14:paraId="77C6CCEB"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5A29B05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39ABD5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2AE2B66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275E53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1070FF6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384A9D2"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97877A1" w14:textId="77777777" w:rsidTr="00F9237E">
              <w:tc>
                <w:tcPr>
                  <w:tcW w:w="2488" w:type="dxa"/>
                  <w:shd w:val="clear" w:color="auto" w:fill="auto"/>
                </w:tcPr>
                <w:p w14:paraId="5CD5CF6B" w14:textId="77777777" w:rsidR="00C84C60" w:rsidRPr="002B1D94" w:rsidRDefault="00C84C60" w:rsidP="00EB5D09">
                  <w:pPr>
                    <w:tabs>
                      <w:tab w:val="left" w:pos="-1180"/>
                      <w:tab w:val="left" w:pos="-720"/>
                      <w:tab w:val="left" w:pos="0"/>
                    </w:tabs>
                    <w:rPr>
                      <w:b/>
                      <w:sz w:val="22"/>
                    </w:rPr>
                  </w:pPr>
                  <w:r>
                    <w:rPr>
                      <w:b/>
                      <w:sz w:val="22"/>
                    </w:rPr>
                    <w:t>Lead (09/10/20)</w:t>
                  </w:r>
                </w:p>
              </w:tc>
              <w:tc>
                <w:tcPr>
                  <w:tcW w:w="1136" w:type="dxa"/>
                </w:tcPr>
                <w:p w14:paraId="33CC193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6B2E417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F28CEB9" w14:textId="77777777" w:rsidR="00C84C60" w:rsidRPr="00370D90" w:rsidRDefault="00C84C60" w:rsidP="00EB5D09">
                  <w:pPr>
                    <w:tabs>
                      <w:tab w:val="left" w:pos="-1180"/>
                      <w:tab w:val="left" w:pos="-720"/>
                      <w:tab w:val="left" w:pos="0"/>
                    </w:tabs>
                    <w:jc w:val="center"/>
                    <w:rPr>
                      <w:sz w:val="22"/>
                    </w:rPr>
                  </w:pPr>
                  <w:r>
                    <w:rPr>
                      <w:sz w:val="22"/>
                    </w:rPr>
                    <w:t>3.5 ppb</w:t>
                  </w:r>
                </w:p>
              </w:tc>
              <w:tc>
                <w:tcPr>
                  <w:tcW w:w="977" w:type="dxa"/>
                  <w:shd w:val="clear" w:color="auto" w:fill="auto"/>
                </w:tcPr>
                <w:p w14:paraId="53600D4C"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08D7AA8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8318BD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6F5F1BF3" w14:textId="77777777" w:rsidTr="00F9237E">
              <w:tc>
                <w:tcPr>
                  <w:tcW w:w="2488" w:type="dxa"/>
                  <w:shd w:val="clear" w:color="auto" w:fill="auto"/>
                </w:tcPr>
                <w:p w14:paraId="27AE00F2" w14:textId="77777777" w:rsidR="00C84C60" w:rsidRPr="002B1D94" w:rsidRDefault="00C84C60" w:rsidP="00EB5D09">
                  <w:pPr>
                    <w:tabs>
                      <w:tab w:val="left" w:pos="-1180"/>
                      <w:tab w:val="left" w:pos="-720"/>
                      <w:tab w:val="left" w:pos="0"/>
                    </w:tabs>
                    <w:rPr>
                      <w:b/>
                      <w:sz w:val="22"/>
                    </w:rPr>
                  </w:pPr>
                  <w:r>
                    <w:rPr>
                      <w:b/>
                      <w:sz w:val="22"/>
                    </w:rPr>
                    <w:t>Copper (09/10/20)</w:t>
                  </w:r>
                </w:p>
              </w:tc>
              <w:tc>
                <w:tcPr>
                  <w:tcW w:w="1136" w:type="dxa"/>
                </w:tcPr>
                <w:p w14:paraId="59670C38"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614CA50C"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54649BFE" w14:textId="77777777" w:rsidR="00C84C60" w:rsidRPr="00370D90" w:rsidRDefault="00C84C60" w:rsidP="00EB5D09">
                  <w:pPr>
                    <w:tabs>
                      <w:tab w:val="left" w:pos="-1180"/>
                      <w:tab w:val="left" w:pos="-720"/>
                      <w:tab w:val="left" w:pos="0"/>
                    </w:tabs>
                    <w:jc w:val="center"/>
                    <w:rPr>
                      <w:sz w:val="22"/>
                    </w:rPr>
                  </w:pPr>
                  <w:r>
                    <w:rPr>
                      <w:sz w:val="22"/>
                    </w:rPr>
                    <w:t>0.48 ppm</w:t>
                  </w:r>
                </w:p>
              </w:tc>
              <w:tc>
                <w:tcPr>
                  <w:tcW w:w="977" w:type="dxa"/>
                  <w:shd w:val="clear" w:color="auto" w:fill="auto"/>
                </w:tcPr>
                <w:p w14:paraId="32C148EC"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3C1763EB"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68611492"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CF2D8B6" w14:textId="77777777" w:rsidR="00C84C60" w:rsidRPr="00DF424A" w:rsidRDefault="00C84C60" w:rsidP="00EB5D09">
            <w:pPr>
              <w:keepLines/>
            </w:pPr>
          </w:p>
        </w:tc>
      </w:tr>
      <w:tr w:rsidR="00C84C60" w14:paraId="1306D68E"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20854A0"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1916"/>
              <w:gridCol w:w="1136"/>
              <w:gridCol w:w="921"/>
              <w:gridCol w:w="1519"/>
              <w:gridCol w:w="1376"/>
              <w:gridCol w:w="1048"/>
              <w:gridCol w:w="2298"/>
            </w:tblGrid>
            <w:tr w:rsidR="00C84C60" w:rsidRPr="004F2371" w14:paraId="2D81929E" w14:textId="77777777" w:rsidTr="00F9237E">
              <w:trPr>
                <w:tblHeader/>
              </w:trPr>
              <w:tc>
                <w:tcPr>
                  <w:tcW w:w="0" w:type="auto"/>
                  <w:shd w:val="clear" w:color="auto" w:fill="D9D9D9" w:themeFill="background2" w:themeFillShade="D9"/>
                  <w:vAlign w:val="center"/>
                </w:tcPr>
                <w:p w14:paraId="1BB528DC"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1F36A875"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7A141A59"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6A79DB5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A576E0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D18BB90"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4FF4E546"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4925B7A7" w14:textId="77777777" w:rsidTr="00F9237E">
              <w:tc>
                <w:tcPr>
                  <w:tcW w:w="0" w:type="auto"/>
                  <w:shd w:val="clear" w:color="auto" w:fill="auto"/>
                </w:tcPr>
                <w:p w14:paraId="7B985894"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306DDA43"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68FF5FA4"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06C19144" w14:textId="77777777" w:rsidR="00C84C60" w:rsidRDefault="00C84C60" w:rsidP="00EB5D09">
                  <w:pPr>
                    <w:tabs>
                      <w:tab w:val="left" w:pos="-1180"/>
                      <w:tab w:val="left" w:pos="-720"/>
                      <w:tab w:val="left" w:pos="0"/>
                    </w:tabs>
                    <w:jc w:val="center"/>
                    <w:rPr>
                      <w:sz w:val="22"/>
                    </w:rPr>
                  </w:pPr>
                  <w:r>
                    <w:rPr>
                      <w:sz w:val="22"/>
                    </w:rPr>
                    <w:t>7 ppm</w:t>
                  </w:r>
                </w:p>
              </w:tc>
              <w:tc>
                <w:tcPr>
                  <w:tcW w:w="0" w:type="auto"/>
                  <w:shd w:val="clear" w:color="auto" w:fill="auto"/>
                </w:tcPr>
                <w:p w14:paraId="6C1DAB1C" w14:textId="77777777" w:rsidR="00C84C60" w:rsidRDefault="00C84C60" w:rsidP="00EB5D09">
                  <w:pPr>
                    <w:tabs>
                      <w:tab w:val="left" w:pos="-1180"/>
                      <w:tab w:val="left" w:pos="-720"/>
                      <w:tab w:val="left" w:pos="0"/>
                    </w:tabs>
                    <w:jc w:val="center"/>
                    <w:rPr>
                      <w:sz w:val="22"/>
                    </w:rPr>
                  </w:pPr>
                  <w:r>
                    <w:rPr>
                      <w:sz w:val="22"/>
                    </w:rPr>
                    <w:t>0.00 - 7.00 ppm</w:t>
                  </w:r>
                </w:p>
              </w:tc>
              <w:tc>
                <w:tcPr>
                  <w:tcW w:w="0" w:type="auto"/>
                  <w:shd w:val="clear" w:color="auto" w:fill="auto"/>
                </w:tcPr>
                <w:p w14:paraId="764650D1"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F2B5CEC"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5E05B1CB" w14:textId="77777777" w:rsidTr="00F9237E">
              <w:tc>
                <w:tcPr>
                  <w:tcW w:w="0" w:type="auto"/>
                  <w:shd w:val="clear" w:color="auto" w:fill="auto"/>
                </w:tcPr>
                <w:p w14:paraId="2EC01D3C" w14:textId="77777777" w:rsidR="00C84C60" w:rsidRPr="0037448A" w:rsidRDefault="00C84C60" w:rsidP="00EB5D09">
                  <w:pPr>
                    <w:tabs>
                      <w:tab w:val="left" w:pos="-1180"/>
                      <w:tab w:val="left" w:pos="-720"/>
                      <w:tab w:val="left" w:pos="0"/>
                    </w:tabs>
                    <w:rPr>
                      <w:b/>
                      <w:sz w:val="22"/>
                    </w:rPr>
                  </w:pPr>
                  <w:r>
                    <w:rPr>
                      <w:b/>
                      <w:sz w:val="22"/>
                    </w:rPr>
                    <w:t>Barium (08/25/20)</w:t>
                  </w:r>
                </w:p>
              </w:tc>
              <w:tc>
                <w:tcPr>
                  <w:tcW w:w="0" w:type="auto"/>
                </w:tcPr>
                <w:p w14:paraId="1B2E4644"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594A4C68"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12622A58" w14:textId="77777777" w:rsidR="00C84C60" w:rsidRDefault="00C84C60" w:rsidP="00EB5D09">
                  <w:pPr>
                    <w:tabs>
                      <w:tab w:val="left" w:pos="-1180"/>
                      <w:tab w:val="left" w:pos="-720"/>
                      <w:tab w:val="left" w:pos="0"/>
                    </w:tabs>
                    <w:jc w:val="center"/>
                    <w:rPr>
                      <w:sz w:val="22"/>
                    </w:rPr>
                  </w:pPr>
                  <w:r>
                    <w:rPr>
                      <w:sz w:val="22"/>
                    </w:rPr>
                    <w:t>0.04 ppm</w:t>
                  </w:r>
                </w:p>
              </w:tc>
              <w:tc>
                <w:tcPr>
                  <w:tcW w:w="0" w:type="auto"/>
                  <w:shd w:val="clear" w:color="auto" w:fill="auto"/>
                </w:tcPr>
                <w:p w14:paraId="5AFF2F69"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ACAA6E4"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B7120D8" w14:textId="77777777" w:rsidR="00C84C60" w:rsidRDefault="00C84C60" w:rsidP="00EB5D09">
                  <w:pPr>
                    <w:tabs>
                      <w:tab w:val="left" w:pos="-1180"/>
                      <w:tab w:val="left" w:pos="-720"/>
                      <w:tab w:val="left" w:pos="0"/>
                    </w:tabs>
                    <w:jc w:val="center"/>
                    <w:rPr>
                      <w:sz w:val="22"/>
                    </w:rPr>
                  </w:pPr>
                  <w:r>
                    <w:rPr>
                      <w:sz w:val="22"/>
                    </w:rPr>
                    <w:t>Discharge of drilling wastes; Discharge from metal refineries; Erosion of natural deposit.</w:t>
                  </w:r>
                </w:p>
              </w:tc>
            </w:tr>
            <w:tr w:rsidR="00C84C60" w:rsidRPr="004F2371" w14:paraId="6570A0A1" w14:textId="77777777" w:rsidTr="00F9237E">
              <w:tc>
                <w:tcPr>
                  <w:tcW w:w="0" w:type="auto"/>
                  <w:shd w:val="clear" w:color="auto" w:fill="auto"/>
                </w:tcPr>
                <w:p w14:paraId="1B82A2D9" w14:textId="77777777" w:rsidR="00C84C60" w:rsidRPr="0037448A" w:rsidRDefault="00C84C60" w:rsidP="00EB5D09">
                  <w:pPr>
                    <w:tabs>
                      <w:tab w:val="left" w:pos="-1180"/>
                      <w:tab w:val="left" w:pos="-720"/>
                      <w:tab w:val="left" w:pos="0"/>
                    </w:tabs>
                    <w:rPr>
                      <w:b/>
                      <w:sz w:val="22"/>
                    </w:rPr>
                  </w:pPr>
                  <w:r>
                    <w:rPr>
                      <w:b/>
                      <w:sz w:val="22"/>
                    </w:rPr>
                    <w:t>Styrene (2021)</w:t>
                  </w:r>
                </w:p>
              </w:tc>
              <w:tc>
                <w:tcPr>
                  <w:tcW w:w="0" w:type="auto"/>
                </w:tcPr>
                <w:p w14:paraId="7DAE1A19" w14:textId="77777777" w:rsidR="00C84C60" w:rsidRDefault="00C84C60" w:rsidP="00EB5D09">
                  <w:pPr>
                    <w:tabs>
                      <w:tab w:val="left" w:pos="-1180"/>
                      <w:tab w:val="left" w:pos="-720"/>
                      <w:tab w:val="left" w:pos="0"/>
                    </w:tabs>
                    <w:jc w:val="center"/>
                    <w:rPr>
                      <w:sz w:val="22"/>
                    </w:rPr>
                  </w:pPr>
                  <w:r>
                    <w:rPr>
                      <w:sz w:val="22"/>
                    </w:rPr>
                    <w:t>0 ppm</w:t>
                  </w:r>
                </w:p>
              </w:tc>
              <w:tc>
                <w:tcPr>
                  <w:tcW w:w="0" w:type="auto"/>
                  <w:shd w:val="clear" w:color="auto" w:fill="auto"/>
                </w:tcPr>
                <w:p w14:paraId="1B2C24EC" w14:textId="77777777" w:rsidR="00C84C60" w:rsidRDefault="00C84C60" w:rsidP="00EB5D09">
                  <w:pPr>
                    <w:tabs>
                      <w:tab w:val="left" w:pos="-1180"/>
                      <w:tab w:val="left" w:pos="-720"/>
                      <w:tab w:val="left" w:pos="0"/>
                    </w:tabs>
                    <w:jc w:val="center"/>
                    <w:rPr>
                      <w:sz w:val="22"/>
                    </w:rPr>
                  </w:pPr>
                  <w:r>
                    <w:rPr>
                      <w:sz w:val="22"/>
                    </w:rPr>
                    <w:t>100 ppm</w:t>
                  </w:r>
                </w:p>
              </w:tc>
              <w:tc>
                <w:tcPr>
                  <w:tcW w:w="0" w:type="auto"/>
                  <w:shd w:val="clear" w:color="auto" w:fill="auto"/>
                </w:tcPr>
                <w:p w14:paraId="079144AF" w14:textId="77777777" w:rsidR="00C84C60" w:rsidRDefault="00C84C60" w:rsidP="00EB5D09">
                  <w:pPr>
                    <w:tabs>
                      <w:tab w:val="left" w:pos="-1180"/>
                      <w:tab w:val="left" w:pos="-720"/>
                      <w:tab w:val="left" w:pos="0"/>
                    </w:tabs>
                    <w:jc w:val="center"/>
                    <w:rPr>
                      <w:sz w:val="22"/>
                    </w:rPr>
                  </w:pPr>
                  <w:r>
                    <w:rPr>
                      <w:sz w:val="22"/>
                    </w:rPr>
                    <w:t>0.54 ppm</w:t>
                  </w:r>
                </w:p>
              </w:tc>
              <w:tc>
                <w:tcPr>
                  <w:tcW w:w="0" w:type="auto"/>
                  <w:shd w:val="clear" w:color="auto" w:fill="auto"/>
                </w:tcPr>
                <w:p w14:paraId="6B04A3F8"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C135C5A"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7DCABAE3" w14:textId="77777777" w:rsidR="00C84C60" w:rsidRDefault="00C84C60" w:rsidP="00EB5D09">
                  <w:pPr>
                    <w:tabs>
                      <w:tab w:val="left" w:pos="-1180"/>
                      <w:tab w:val="left" w:pos="-720"/>
                      <w:tab w:val="left" w:pos="0"/>
                    </w:tabs>
                    <w:jc w:val="center"/>
                    <w:rPr>
                      <w:sz w:val="22"/>
                    </w:rPr>
                  </w:pPr>
                  <w:r>
                    <w:rPr>
                      <w:sz w:val="22"/>
                    </w:rPr>
                    <w:t>Discharge from rubber and plastic factories; Leaching from landfills.</w:t>
                  </w:r>
                </w:p>
              </w:tc>
            </w:tr>
          </w:tbl>
          <w:p w14:paraId="1FC39945"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17503EED" w14:textId="77777777" w:rsidTr="00EB5D09">
        <w:tc>
          <w:tcPr>
            <w:tcW w:w="9350" w:type="dxa"/>
            <w:tcBorders>
              <w:top w:val="nil"/>
              <w:left w:val="nil"/>
              <w:bottom w:val="nil"/>
              <w:right w:val="nil"/>
            </w:tcBorders>
          </w:tcPr>
          <w:p w14:paraId="0E9C4363" w14:textId="77777777" w:rsidR="00C84C60" w:rsidRPr="005972DA" w:rsidRDefault="00C84C60" w:rsidP="00EB5D09">
            <w:pPr>
              <w:rPr>
                <w:b/>
              </w:rPr>
            </w:pPr>
            <w:r>
              <w:rPr>
                <w:b/>
              </w:rPr>
              <w:t>Potential Health Effects and Corrective Actions (If Applicable)</w:t>
            </w:r>
          </w:p>
        </w:tc>
      </w:tr>
      <w:tr w:rsidR="00C84C60" w14:paraId="39BF2F7D" w14:textId="77777777" w:rsidTr="00EB5D09">
        <w:tc>
          <w:tcPr>
            <w:tcW w:w="9350" w:type="dxa"/>
            <w:tcBorders>
              <w:top w:val="nil"/>
              <w:left w:val="nil"/>
              <w:bottom w:val="nil"/>
              <w:right w:val="nil"/>
            </w:tcBorders>
          </w:tcPr>
          <w:p w14:paraId="5CBDD43D" w14:textId="77777777" w:rsidR="00C84C60" w:rsidRDefault="00C84C60" w:rsidP="00EB5D09">
            <w:r>
              <w:t xml:space="preserve">Nitrate: Nitrate in drinking water at levels above 10 parts per million is a health risk for infants of less than six months of age. High nitrate levels in drinking water can cause blue baby syndrome.  Nitrate levels may rise quickly for short periods of time because of rainfall or </w:t>
            </w:r>
            <w:r>
              <w:lastRenderedPageBreak/>
              <w:t>agricultural activity.  If you are caring for an infant, you should ask advice from your health care provider.</w:t>
            </w:r>
          </w:p>
        </w:tc>
      </w:tr>
    </w:tbl>
    <w:tbl>
      <w:tblPr>
        <w:tblStyle w:val="TableGrid"/>
        <w:tblW w:w="0" w:type="auto"/>
        <w:tblLook w:val="04A0" w:firstRow="1" w:lastRow="0" w:firstColumn="1" w:lastColumn="0" w:noHBand="0" w:noVBand="1"/>
      </w:tblPr>
      <w:tblGrid>
        <w:gridCol w:w="10440"/>
      </w:tblGrid>
      <w:tr w:rsidR="00C84C60" w14:paraId="65867FEB" w14:textId="77777777" w:rsidTr="00EB5D09">
        <w:trPr>
          <w:cantSplit/>
        </w:trPr>
        <w:tc>
          <w:tcPr>
            <w:tcW w:w="10440" w:type="dxa"/>
            <w:tcBorders>
              <w:top w:val="nil"/>
              <w:left w:val="nil"/>
              <w:bottom w:val="nil"/>
              <w:right w:val="nil"/>
            </w:tcBorders>
          </w:tcPr>
          <w:p w14:paraId="3A61565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2156"/>
              <w:gridCol w:w="1333"/>
              <w:gridCol w:w="1101"/>
              <w:gridCol w:w="1492"/>
              <w:gridCol w:w="1360"/>
              <w:gridCol w:w="1048"/>
              <w:gridCol w:w="1724"/>
            </w:tblGrid>
            <w:tr w:rsidR="00C84C60" w:rsidRPr="004F2371" w14:paraId="6861AFB0" w14:textId="77777777" w:rsidTr="00F9237E">
              <w:trPr>
                <w:trHeight w:val="1511"/>
                <w:tblHeader/>
              </w:trPr>
              <w:tc>
                <w:tcPr>
                  <w:tcW w:w="0" w:type="auto"/>
                  <w:shd w:val="clear" w:color="auto" w:fill="D9D9D9" w:themeFill="background2" w:themeFillShade="D9"/>
                  <w:vAlign w:val="center"/>
                </w:tcPr>
                <w:p w14:paraId="38E6B1AA"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106DA2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32498AB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A27A87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D3FEF6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9A6241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EBF7FF3"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148C08E" w14:textId="77777777" w:rsidTr="00F9237E">
              <w:trPr>
                <w:trHeight w:val="497"/>
                <w:tblHeader/>
              </w:trPr>
              <w:tc>
                <w:tcPr>
                  <w:tcW w:w="0" w:type="auto"/>
                  <w:shd w:val="clear" w:color="auto" w:fill="auto"/>
                </w:tcPr>
                <w:p w14:paraId="1EA1AB6A"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5BB6A0A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0316C3B"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2BF9DA50" w14:textId="77777777" w:rsidR="00C84C60" w:rsidRPr="008F32BF" w:rsidRDefault="00C84C60" w:rsidP="00EB5D09">
                  <w:pPr>
                    <w:tabs>
                      <w:tab w:val="left" w:pos="-1180"/>
                      <w:tab w:val="left" w:pos="-720"/>
                      <w:tab w:val="left" w:pos="0"/>
                    </w:tabs>
                    <w:jc w:val="center"/>
                    <w:rPr>
                      <w:sz w:val="22"/>
                    </w:rPr>
                  </w:pPr>
                  <w:r>
                    <w:rPr>
                      <w:sz w:val="22"/>
                    </w:rPr>
                    <w:t>10.6 ppb</w:t>
                  </w:r>
                </w:p>
              </w:tc>
              <w:tc>
                <w:tcPr>
                  <w:tcW w:w="0" w:type="auto"/>
                  <w:shd w:val="clear" w:color="auto" w:fill="auto"/>
                </w:tcPr>
                <w:p w14:paraId="28F82D1B"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FE5AF4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33373AF"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77B03113" w14:textId="77777777" w:rsidTr="00F9237E">
              <w:trPr>
                <w:trHeight w:val="497"/>
                <w:tblHeader/>
              </w:trPr>
              <w:tc>
                <w:tcPr>
                  <w:tcW w:w="0" w:type="auto"/>
                  <w:shd w:val="clear" w:color="auto" w:fill="auto"/>
                </w:tcPr>
                <w:p w14:paraId="2CCF3E98" w14:textId="77777777" w:rsidR="00C84C60" w:rsidRPr="00084842" w:rsidRDefault="00C84C60" w:rsidP="00EB5D09">
                  <w:pPr>
                    <w:tabs>
                      <w:tab w:val="left" w:pos="-1180"/>
                      <w:tab w:val="left" w:pos="-720"/>
                      <w:tab w:val="left" w:pos="0"/>
                    </w:tabs>
                    <w:rPr>
                      <w:b/>
                      <w:sz w:val="22"/>
                    </w:rPr>
                  </w:pPr>
                  <w:r>
                    <w:rPr>
                      <w:b/>
                      <w:sz w:val="22"/>
                    </w:rPr>
                    <w:t>Total Haloacetic Acids (HAA)</w:t>
                  </w:r>
                </w:p>
              </w:tc>
              <w:tc>
                <w:tcPr>
                  <w:tcW w:w="0" w:type="auto"/>
                </w:tcPr>
                <w:p w14:paraId="25A11B98"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0AC6FE9"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624E0161" w14:textId="77777777" w:rsidR="00C84C60" w:rsidRPr="008F32BF" w:rsidRDefault="00C84C60" w:rsidP="00EB5D09">
                  <w:pPr>
                    <w:tabs>
                      <w:tab w:val="left" w:pos="-1180"/>
                      <w:tab w:val="left" w:pos="-720"/>
                      <w:tab w:val="left" w:pos="0"/>
                    </w:tabs>
                    <w:jc w:val="center"/>
                    <w:rPr>
                      <w:sz w:val="22"/>
                    </w:rPr>
                  </w:pPr>
                  <w:r>
                    <w:rPr>
                      <w:sz w:val="22"/>
                    </w:rPr>
                    <w:t>2.1 ppb</w:t>
                  </w:r>
                </w:p>
              </w:tc>
              <w:tc>
                <w:tcPr>
                  <w:tcW w:w="0" w:type="auto"/>
                  <w:shd w:val="clear" w:color="auto" w:fill="auto"/>
                </w:tcPr>
                <w:p w14:paraId="6597C7D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ADB837E"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2502535"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30AC7B43" w14:textId="77777777" w:rsidTr="00F9237E">
              <w:trPr>
                <w:trHeight w:val="497"/>
                <w:tblHeader/>
              </w:trPr>
              <w:tc>
                <w:tcPr>
                  <w:tcW w:w="0" w:type="auto"/>
                  <w:shd w:val="clear" w:color="auto" w:fill="auto"/>
                </w:tcPr>
                <w:p w14:paraId="3D57A967"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670AA5DD"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E89FA23"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2E4DC4F1" w14:textId="77777777" w:rsidR="00C84C60" w:rsidRPr="008F32BF" w:rsidRDefault="00C84C60" w:rsidP="00EB5D09">
                  <w:pPr>
                    <w:tabs>
                      <w:tab w:val="left" w:pos="-1180"/>
                      <w:tab w:val="left" w:pos="-720"/>
                      <w:tab w:val="left" w:pos="0"/>
                    </w:tabs>
                    <w:jc w:val="center"/>
                    <w:rPr>
                      <w:sz w:val="22"/>
                    </w:rPr>
                  </w:pPr>
                  <w:r>
                    <w:rPr>
                      <w:sz w:val="22"/>
                    </w:rPr>
                    <w:t>0.67 ppm</w:t>
                  </w:r>
                </w:p>
              </w:tc>
              <w:tc>
                <w:tcPr>
                  <w:tcW w:w="0" w:type="auto"/>
                  <w:shd w:val="clear" w:color="auto" w:fill="auto"/>
                </w:tcPr>
                <w:p w14:paraId="78891C2D" w14:textId="77777777" w:rsidR="00C84C60" w:rsidRPr="008F32BF" w:rsidRDefault="00C84C60" w:rsidP="00EB5D09">
                  <w:pPr>
                    <w:tabs>
                      <w:tab w:val="left" w:pos="-1180"/>
                      <w:tab w:val="left" w:pos="-720"/>
                      <w:tab w:val="left" w:pos="0"/>
                    </w:tabs>
                    <w:jc w:val="center"/>
                    <w:rPr>
                      <w:sz w:val="22"/>
                    </w:rPr>
                  </w:pPr>
                  <w:r>
                    <w:rPr>
                      <w:sz w:val="22"/>
                    </w:rPr>
                    <w:t>0.51 - 0.70 ppm</w:t>
                  </w:r>
                </w:p>
              </w:tc>
              <w:tc>
                <w:tcPr>
                  <w:tcW w:w="0" w:type="auto"/>
                  <w:shd w:val="clear" w:color="auto" w:fill="auto"/>
                </w:tcPr>
                <w:p w14:paraId="3F0AE741"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0567AA9"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0562CB0E" w14:textId="77777777" w:rsidR="00C84C60" w:rsidRDefault="00C84C60" w:rsidP="00EB5D09">
            <w:pPr>
              <w:keepLines/>
            </w:pPr>
          </w:p>
        </w:tc>
      </w:tr>
      <w:tr w:rsidR="00C84C60" w:rsidRPr="00290326" w14:paraId="3C848C16" w14:textId="77777777" w:rsidTr="00EB5D09">
        <w:trPr>
          <w:cantSplit/>
        </w:trPr>
        <w:tc>
          <w:tcPr>
            <w:tcW w:w="10440" w:type="dxa"/>
            <w:tcBorders>
              <w:top w:val="nil"/>
              <w:left w:val="nil"/>
              <w:bottom w:val="nil"/>
              <w:right w:val="nil"/>
            </w:tcBorders>
          </w:tcPr>
          <w:p w14:paraId="390541B6" w14:textId="77777777" w:rsidR="00C84C60" w:rsidRPr="00290326" w:rsidRDefault="00C84C60" w:rsidP="00EB5D09">
            <w:r>
              <w:t>Total HAA refers to HAA5</w:t>
            </w:r>
          </w:p>
        </w:tc>
      </w:tr>
      <w:tr w:rsidR="00C84C60" w14:paraId="4BAAB17B" w14:textId="77777777" w:rsidTr="00EB5D09">
        <w:trPr>
          <w:cantSplit/>
        </w:trPr>
        <w:tc>
          <w:tcPr>
            <w:tcW w:w="10440" w:type="dxa"/>
            <w:tcBorders>
              <w:top w:val="nil"/>
              <w:left w:val="nil"/>
              <w:bottom w:val="nil"/>
              <w:right w:val="nil"/>
            </w:tcBorders>
          </w:tcPr>
          <w:p w14:paraId="51E09B66"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A0" w:firstRow="1" w:lastRow="0" w:firstColumn="1" w:lastColumn="0" w:noHBand="0" w:noVBand="1"/>
            </w:tblPr>
            <w:tblGrid>
              <w:gridCol w:w="1784"/>
              <w:gridCol w:w="1197"/>
              <w:gridCol w:w="964"/>
              <w:gridCol w:w="1655"/>
              <w:gridCol w:w="1457"/>
              <w:gridCol w:w="1048"/>
              <w:gridCol w:w="2109"/>
            </w:tblGrid>
            <w:tr w:rsidR="00C84C60" w:rsidRPr="004F2371" w14:paraId="6CEDAB67" w14:textId="77777777" w:rsidTr="00F9237E">
              <w:trPr>
                <w:tblHeader/>
              </w:trPr>
              <w:tc>
                <w:tcPr>
                  <w:tcW w:w="0" w:type="auto"/>
                  <w:shd w:val="clear" w:color="auto" w:fill="D9D9D9" w:themeFill="background2" w:themeFillShade="D9"/>
                  <w:vAlign w:val="center"/>
                </w:tcPr>
                <w:p w14:paraId="7E7C76E1"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6A0DA6E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4B9C3FB5"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2CE3E117"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E01B325"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D7EC1CE"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3AFC75F"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76ADB4B" w14:textId="77777777" w:rsidTr="00F9237E">
              <w:trPr>
                <w:tblHeader/>
              </w:trPr>
              <w:tc>
                <w:tcPr>
                  <w:tcW w:w="0" w:type="auto"/>
                  <w:shd w:val="clear" w:color="auto" w:fill="auto"/>
                </w:tcPr>
                <w:p w14:paraId="6B3FB637" w14:textId="77777777" w:rsidR="00C84C60" w:rsidRDefault="00C84C60" w:rsidP="00EB5D09">
                  <w:pPr>
                    <w:tabs>
                      <w:tab w:val="left" w:pos="-1180"/>
                      <w:tab w:val="left" w:pos="-720"/>
                      <w:tab w:val="left" w:pos="0"/>
                    </w:tabs>
                    <w:rPr>
                      <w:b/>
                      <w:sz w:val="22"/>
                    </w:rPr>
                  </w:pPr>
                  <w:r>
                    <w:rPr>
                      <w:b/>
                      <w:sz w:val="22"/>
                    </w:rPr>
                    <w:t>Fluoride</w:t>
                  </w:r>
                </w:p>
              </w:tc>
              <w:tc>
                <w:tcPr>
                  <w:tcW w:w="0" w:type="auto"/>
                </w:tcPr>
                <w:p w14:paraId="23884317"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036A946"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3DF8F8B" w14:textId="77777777" w:rsidR="00C84C60" w:rsidRPr="008F32BF" w:rsidRDefault="00C84C60" w:rsidP="00EB5D09">
                  <w:pPr>
                    <w:tabs>
                      <w:tab w:val="left" w:pos="-1180"/>
                      <w:tab w:val="left" w:pos="-720"/>
                      <w:tab w:val="left" w:pos="0"/>
                    </w:tabs>
                    <w:jc w:val="center"/>
                    <w:rPr>
                      <w:sz w:val="22"/>
                    </w:rPr>
                  </w:pPr>
                  <w:r>
                    <w:rPr>
                      <w:sz w:val="22"/>
                    </w:rPr>
                    <w:t>0.68 ppm</w:t>
                  </w:r>
                </w:p>
              </w:tc>
              <w:tc>
                <w:tcPr>
                  <w:tcW w:w="0" w:type="auto"/>
                  <w:shd w:val="clear" w:color="auto" w:fill="auto"/>
                </w:tcPr>
                <w:p w14:paraId="5D157BF5" w14:textId="77777777" w:rsidR="00C84C60" w:rsidRPr="008F32BF" w:rsidRDefault="00C84C60" w:rsidP="00EB5D09">
                  <w:pPr>
                    <w:tabs>
                      <w:tab w:val="left" w:pos="-1180"/>
                      <w:tab w:val="left" w:pos="-720"/>
                      <w:tab w:val="left" w:pos="0"/>
                    </w:tabs>
                    <w:jc w:val="center"/>
                    <w:rPr>
                      <w:sz w:val="22"/>
                    </w:rPr>
                  </w:pPr>
                  <w:r>
                    <w:rPr>
                      <w:sz w:val="22"/>
                    </w:rPr>
                    <w:t>0.59 - 0.68 ppm</w:t>
                  </w:r>
                </w:p>
              </w:tc>
              <w:tc>
                <w:tcPr>
                  <w:tcW w:w="0" w:type="auto"/>
                  <w:shd w:val="clear" w:color="auto" w:fill="auto"/>
                </w:tcPr>
                <w:p w14:paraId="0216FB7A"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2CAFCDD"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34CE0A41"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78A033ED" w14:textId="77777777" w:rsidTr="00EB5D09">
        <w:tc>
          <w:tcPr>
            <w:tcW w:w="9350" w:type="dxa"/>
            <w:tcBorders>
              <w:top w:val="nil"/>
              <w:left w:val="nil"/>
              <w:bottom w:val="nil"/>
              <w:right w:val="nil"/>
            </w:tcBorders>
          </w:tcPr>
          <w:p w14:paraId="19499079" w14:textId="77777777" w:rsidR="00C84C60" w:rsidRPr="005972DA" w:rsidRDefault="00C84C60" w:rsidP="00EB5D09">
            <w:pPr>
              <w:rPr>
                <w:b/>
              </w:rPr>
            </w:pPr>
            <w:r>
              <w:rPr>
                <w:b/>
              </w:rPr>
              <w:t>Potential Health Effects and Corrective Actions (If Applicable)</w:t>
            </w:r>
          </w:p>
        </w:tc>
      </w:tr>
      <w:tr w:rsidR="00C84C60" w14:paraId="2F4DA3AF" w14:textId="77777777" w:rsidTr="00EB5D09">
        <w:tc>
          <w:tcPr>
            <w:tcW w:w="9350" w:type="dxa"/>
            <w:tcBorders>
              <w:top w:val="nil"/>
              <w:left w:val="nil"/>
              <w:bottom w:val="nil"/>
              <w:right w:val="nil"/>
            </w:tcBorders>
          </w:tcPr>
          <w:p w14:paraId="38A993D9" w14:textId="77777777" w:rsidR="00C84C60" w:rsidRDefault="00C84C60" w:rsidP="00EB5D09">
            <w:r>
              <w:t>Fluoride: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an optimal concentration between 0.5 to 0.9 parts per million (ppm) to protect your teeth. Fluoride levels below 2.0 ppm are not expected to increase the risk of a cosmetic condition known as enamel fluorosis.</w:t>
            </w:r>
          </w:p>
        </w:tc>
      </w:tr>
    </w:tbl>
    <w:tbl>
      <w:tblPr>
        <w:tblStyle w:val="TableGrid"/>
        <w:tblW w:w="0" w:type="auto"/>
        <w:tblLook w:val="04A0" w:firstRow="1" w:lastRow="0" w:firstColumn="1" w:lastColumn="0" w:noHBand="0" w:noVBand="1"/>
      </w:tblPr>
      <w:tblGrid>
        <w:gridCol w:w="10440"/>
      </w:tblGrid>
      <w:tr w:rsidR="00C84C60" w:rsidRPr="00E44EAF" w14:paraId="49B8EF85" w14:textId="77777777" w:rsidTr="00EB5D09">
        <w:tc>
          <w:tcPr>
            <w:tcW w:w="10440" w:type="dxa"/>
            <w:tcBorders>
              <w:top w:val="nil"/>
              <w:left w:val="nil"/>
              <w:bottom w:val="nil"/>
              <w:right w:val="nil"/>
            </w:tcBorders>
          </w:tcPr>
          <w:p w14:paraId="5997CC1D" w14:textId="77777777" w:rsidR="00C84C60" w:rsidRDefault="00C84C60" w:rsidP="00EB5D09">
            <w:pPr>
              <w:keepLines/>
            </w:pPr>
          </w:p>
        </w:tc>
      </w:tr>
    </w:tbl>
    <w:p w14:paraId="6B699379" w14:textId="77777777" w:rsidR="00C84C60" w:rsidRPr="00D041E9" w:rsidRDefault="00C84C60" w:rsidP="00C84C60">
      <w:pPr>
        <w:tabs>
          <w:tab w:val="left" w:pos="-1180"/>
          <w:tab w:val="left" w:pos="-720"/>
          <w:tab w:val="left" w:pos="0"/>
        </w:tabs>
        <w:rPr>
          <w:bCs/>
          <w:iCs/>
        </w:rPr>
      </w:pPr>
    </w:p>
    <w:p w14:paraId="356E3781"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11412524" w14:textId="77777777" w:rsidR="00620B77" w:rsidRPr="002E0C04" w:rsidRDefault="0038457A" w:rsidP="7F75328D">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7F75328D">
        <w:rPr>
          <w:i/>
          <w:iCs/>
        </w:rPr>
        <w:t>Cryptosporidium</w:t>
      </w:r>
      <w:r>
        <w:t xml:space="preserve"> and other microbial contaminants are available from the Safe Drinking Water Hotline at 1-800-426-4791.</w:t>
      </w:r>
    </w:p>
    <w:p w14:paraId="44E512DF" w14:textId="77777777" w:rsidR="00FD2664" w:rsidRDefault="004B4313" w:rsidP="00FD2664">
      <w:pPr>
        <w:pStyle w:val="Heading2"/>
      </w:pPr>
      <w:r>
        <w:t xml:space="preserve">Learn </w:t>
      </w:r>
      <w:r w:rsidRPr="001B25C6">
        <w:t>More a</w:t>
      </w:r>
      <w:r w:rsidR="00FD2664" w:rsidRPr="001B25C6">
        <w:t>bout Your</w:t>
      </w:r>
      <w:r w:rsidR="00FD2664">
        <w:t xml:space="preserve"> Drinking Water</w:t>
      </w:r>
    </w:p>
    <w:p w14:paraId="14BFBC32" w14:textId="77777777" w:rsidR="00FD2664" w:rsidRDefault="00FD2664" w:rsidP="00246136">
      <w:pPr>
        <w:pStyle w:val="Heading3"/>
        <w:spacing w:before="240"/>
      </w:pPr>
      <w:r>
        <w:t xml:space="preserve">Drinking </w:t>
      </w:r>
      <w:r w:rsidRPr="0038457A">
        <w:t>Water</w:t>
      </w:r>
      <w:r>
        <w:t xml:space="preserve"> Sources</w:t>
      </w:r>
    </w:p>
    <w:p w14:paraId="1828A766" w14:textId="1B32F09B" w:rsidR="00FD2664" w:rsidRDefault="009D4E44" w:rsidP="00FD2664">
      <w:r w:rsidRPr="009D4E44">
        <w:t xml:space="preserve">Groundwater supplies 75 percent of Minnesota’s drinking </w:t>
      </w:r>
      <w:proofErr w:type="gramStart"/>
      <w:r w:rsidRPr="009D4E44">
        <w:t>water, and</w:t>
      </w:r>
      <w:proofErr w:type="gramEnd"/>
      <w:r w:rsidRPr="009D4E44">
        <w:t xml:space="preserve"> is found in aquifers beneath the surface of the land. Surface water supplies 25 percent of Minnesota’s drinking water, and is the water in lakes, rivers, and streams above the surface of the land. </w:t>
      </w:r>
      <w:r w:rsidR="00FD2664">
        <w:t>Contaminants can get in drinking water sources from the natural environment and from people’s daily activities. There are five main types of contaminants in drinking water sources.</w:t>
      </w:r>
    </w:p>
    <w:p w14:paraId="366E28F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7E2F89FD"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2865060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690AD25"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032E29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428CF2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74F8F37" w14:textId="77777777" w:rsidR="00FD2664" w:rsidRPr="005B3BCC" w:rsidRDefault="00FD2664" w:rsidP="00FD2664">
      <w:pPr>
        <w:pStyle w:val="ListBullet"/>
        <w:keepLines/>
      </w:pPr>
      <w:r w:rsidRPr="005B3BCC">
        <w:t>Ho</w:t>
      </w:r>
      <w:r>
        <w:t>w Rice</w:t>
      </w:r>
      <w:r w:rsidRPr="005B3BCC">
        <w:t xml:space="preserve"> is protecting your drinking water source(s</w:t>
      </w:r>
      <w:proofErr w:type="gramStart"/>
      <w:r w:rsidRPr="005B3BCC">
        <w:t>)</w:t>
      </w:r>
      <w:r>
        <w:t>;</w:t>
      </w:r>
      <w:proofErr w:type="gramEnd"/>
    </w:p>
    <w:p w14:paraId="52F198F2"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669E1BEA"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1D41323" w14:textId="77777777" w:rsidR="00FD2664" w:rsidRPr="00B11F4F" w:rsidRDefault="00FD2664" w:rsidP="00FD2664">
      <w:pPr>
        <w:rPr>
          <w:rFonts w:eastAsia="Calibri"/>
        </w:rPr>
      </w:pPr>
      <w:r w:rsidRPr="7F75328D">
        <w:rPr>
          <w:rFonts w:eastAsia="Calibri"/>
        </w:rPr>
        <w:lastRenderedPageBreak/>
        <w:t xml:space="preserve">Find your source water assessment at </w:t>
      </w:r>
      <w:hyperlink r:id="rId9">
        <w:r w:rsidR="00732759" w:rsidRPr="7F75328D">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14:paraId="45CE837B" w14:textId="77777777" w:rsidR="00FD2664" w:rsidRDefault="00FD2664" w:rsidP="00246136">
      <w:pPr>
        <w:pStyle w:val="Heading3"/>
        <w:spacing w:before="240"/>
      </w:pPr>
      <w:r>
        <w:t>Lead in Drinking Water</w:t>
      </w:r>
    </w:p>
    <w:p w14:paraId="6D97E21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72BF541"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Rice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6147449E"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11E975DF"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284ED226" w14:textId="77777777" w:rsidR="00FD2664" w:rsidRPr="00093687" w:rsidRDefault="00FD2664" w:rsidP="4CE1C69F">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10">
        <w:r w:rsidRPr="4CE1C69F">
          <w:rPr>
            <w:rStyle w:val="Hyperlink"/>
          </w:rPr>
          <w:t>https://www.mprnews.org/story/2016/06/24/npr-find-lead-pipes-in-your-home</w:t>
        </w:r>
      </w:hyperlink>
    </w:p>
    <w:p w14:paraId="4461C2D1"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241B3D8C"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061B70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B1C8120"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38C976C"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419BE629"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ACDBA2B" w14:textId="77777777" w:rsidR="00FD2664" w:rsidRDefault="00FD2664" w:rsidP="00FD2664">
      <w:pPr>
        <w:rPr>
          <w:rFonts w:eastAsia="Times New Roman"/>
        </w:rPr>
      </w:pPr>
      <w:r>
        <w:rPr>
          <w:rFonts w:eastAsia="Times New Roman"/>
        </w:rPr>
        <w:t>Learn more:</w:t>
      </w:r>
    </w:p>
    <w:p w14:paraId="447B73A1"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4014F9ED" w14:textId="77777777" w:rsidR="00FD2664" w:rsidRPr="00093687" w:rsidRDefault="00FD2664" w:rsidP="00FD2664">
      <w:pPr>
        <w:pStyle w:val="ListBullet"/>
        <w:keepLines/>
        <w:rPr>
          <w:u w:val="single"/>
        </w:rPr>
      </w:pPr>
      <w:r w:rsidRPr="00852D58">
        <w:lastRenderedPageBreak/>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4436FAA7" w14:textId="77777777" w:rsidR="00FD2664" w:rsidRPr="00093687" w:rsidRDefault="00FD2664" w:rsidP="4CE1C69F">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46F598C6">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p w14:paraId="08CE6F91" w14:textId="77777777" w:rsidR="005F42BA" w:rsidRDefault="005F42BA"/>
    <w:tbl>
      <w:tblPr>
        <w:tblStyle w:val="TableGrid"/>
        <w:tblW w:w="10440" w:type="dxa"/>
        <w:tblInd w:w="-5" w:type="dxa"/>
        <w:tblLook w:val="04A0" w:firstRow="1" w:lastRow="0" w:firstColumn="1" w:lastColumn="0" w:noHBand="0" w:noVBand="1"/>
      </w:tblPr>
      <w:tblGrid>
        <w:gridCol w:w="10440"/>
      </w:tblGrid>
      <w:tr w:rsidR="003F4A23" w14:paraId="090D59FA" w14:textId="77777777" w:rsidTr="00973BE2">
        <w:tc>
          <w:tcPr>
            <w:tcW w:w="10440" w:type="dxa"/>
            <w:tcBorders>
              <w:top w:val="nil"/>
              <w:left w:val="nil"/>
              <w:bottom w:val="nil"/>
              <w:right w:val="nil"/>
            </w:tcBorders>
          </w:tcPr>
          <w:p w14:paraId="276FDA10" w14:textId="77777777" w:rsidR="003F4A23" w:rsidRPr="009A6CDF" w:rsidRDefault="003F4A23" w:rsidP="00246136">
            <w:pPr>
              <w:pStyle w:val="Heading3"/>
              <w:spacing w:before="240"/>
              <w:rPr>
                <w:b w:val="0"/>
                <w:bCs/>
              </w:rPr>
            </w:pPr>
          </w:p>
        </w:tc>
      </w:tr>
      <w:bookmarkEnd w:id="0"/>
      <w:bookmarkEnd w:id="1"/>
    </w:tbl>
    <w:p w14:paraId="6BB9E253" w14:textId="77777777" w:rsidR="00BB0B78" w:rsidRDefault="00BB0B78" w:rsidP="00CC1542">
      <w:pPr>
        <w:rPr>
          <w:rFonts w:ascii="Arial" w:hAnsi="Arial" w:cs="Arial"/>
          <w:sz w:val="20"/>
          <w:szCs w:val="20"/>
        </w:rPr>
      </w:pPr>
    </w:p>
    <w:p w14:paraId="23C295A9" w14:textId="14FCC2E9" w:rsidR="00E8031B" w:rsidRPr="00F17A47" w:rsidRDefault="00E8031B" w:rsidP="00E8031B">
      <w:pPr>
        <w:suppressAutoHyphens w:val="0"/>
        <w:spacing w:before="0" w:after="0" w:line="276" w:lineRule="auto"/>
      </w:pPr>
      <w:r>
        <w:rPr>
          <w:rFonts w:asciiTheme="minorHAnsi" w:eastAsia="Times New Roman" w:hAnsiTheme="minorHAnsi" w:cstheme="minorHAnsi"/>
          <w:color w:val="0E101A"/>
          <w:szCs w:val="24"/>
        </w:rPr>
        <w:t xml:space="preserve">Water systems have ongoing infrastructure, </w:t>
      </w:r>
      <w:proofErr w:type="gramStart"/>
      <w:r>
        <w:rPr>
          <w:rFonts w:asciiTheme="minorHAnsi" w:eastAsia="Times New Roman" w:hAnsiTheme="minorHAnsi" w:cstheme="minorHAnsi"/>
          <w:color w:val="0E101A"/>
          <w:szCs w:val="24"/>
        </w:rPr>
        <w:t>operations</w:t>
      </w:r>
      <w:proofErr w:type="gramEnd"/>
      <w:r>
        <w:rPr>
          <w:rFonts w:asciiTheme="minorHAnsi" w:eastAsia="Times New Roman" w:hAnsiTheme="minorHAnsi" w:cstheme="minorHAnsi"/>
          <w:color w:val="0E101A"/>
          <w:szCs w:val="24"/>
        </w:rPr>
        <w:t xml:space="preserve"> and maintenance costs in supplying safe drinking water, and many </w:t>
      </w:r>
      <w:r w:rsidRPr="00F17A47">
        <w:t xml:space="preserve">are implementing </w:t>
      </w:r>
      <w:r>
        <w:t xml:space="preserve">additional </w:t>
      </w:r>
      <w:r w:rsidRPr="00F17A47">
        <w:t xml:space="preserve">efforts </w:t>
      </w:r>
      <w:r>
        <w:t>to help insure health equity and manageable water bills with:</w:t>
      </w:r>
    </w:p>
    <w:p w14:paraId="03B8C70A"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Turn the faucet off while brushing teeth.</w:t>
      </w:r>
    </w:p>
    <w:p w14:paraId="62B88F7D"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 xml:space="preserve">Shower instead of bathing to reduce water use. </w:t>
      </w:r>
    </w:p>
    <w:p w14:paraId="5D65ABD7" w14:textId="77777777" w:rsidR="00E8031B" w:rsidRPr="00717E6B" w:rsidRDefault="00E8031B" w:rsidP="003161B6">
      <w:pPr>
        <w:numPr>
          <w:ilvl w:val="1"/>
          <w:numId w:val="38"/>
        </w:numPr>
        <w:suppressAutoHyphens w:val="0"/>
        <w:spacing w:before="0" w:after="0" w:line="276" w:lineRule="auto"/>
        <w:rPr>
          <w:rFonts w:asciiTheme="minorHAnsi" w:hAnsiTheme="minorHAnsi" w:cstheme="minorHAnsi"/>
          <w:color w:val="0E101A"/>
        </w:rPr>
      </w:pPr>
      <w:r w:rsidRPr="00717E6B">
        <w:rPr>
          <w:rFonts w:asciiTheme="minorHAnsi" w:hAnsiTheme="minorHAnsi" w:cstheme="minorHAnsi"/>
          <w:color w:val="0E101A"/>
        </w:rPr>
        <w:t>Fix running toilets by replacing flapper valves</w:t>
      </w:r>
      <w:r>
        <w:rPr>
          <w:rFonts w:asciiTheme="minorHAnsi" w:hAnsiTheme="minorHAnsi" w:cstheme="minorHAnsi"/>
          <w:color w:val="0E101A"/>
        </w:rPr>
        <w:t>.</w:t>
      </w:r>
    </w:p>
    <w:p w14:paraId="207E337F" w14:textId="77777777" w:rsidR="00E8031B" w:rsidRPr="009827D5" w:rsidRDefault="00E8031B" w:rsidP="003161B6">
      <w:pPr>
        <w:numPr>
          <w:ilvl w:val="1"/>
          <w:numId w:val="38"/>
        </w:numPr>
        <w:suppressAutoHyphens w:val="0"/>
        <w:spacing w:before="0" w:after="0" w:line="276" w:lineRule="auto"/>
        <w:rPr>
          <w:rFonts w:asciiTheme="minorHAnsi" w:hAnsiTheme="minorHAnsi" w:cstheme="minorHAnsi"/>
          <w:color w:val="0E101A"/>
        </w:rPr>
      </w:pPr>
      <w:r>
        <w:rPr>
          <w:rFonts w:asciiTheme="minorHAnsi" w:hAnsiTheme="minorHAnsi" w:cstheme="minorHAnsi"/>
          <w:color w:val="0E101A"/>
        </w:rPr>
        <w:t>R</w:t>
      </w:r>
      <w:r w:rsidRPr="009827D5">
        <w:rPr>
          <w:rFonts w:asciiTheme="minorHAnsi" w:hAnsiTheme="minorHAnsi" w:cstheme="minorHAnsi"/>
          <w:color w:val="0E101A"/>
        </w:rPr>
        <w:t xml:space="preserve">un full loads of laundry and </w:t>
      </w:r>
      <w:r>
        <w:rPr>
          <w:rFonts w:asciiTheme="minorHAnsi" w:hAnsiTheme="minorHAnsi" w:cstheme="minorHAnsi"/>
          <w:color w:val="0E101A"/>
        </w:rPr>
        <w:t>use a minimal water use setting.</w:t>
      </w:r>
    </w:p>
    <w:p w14:paraId="66F3B52A" w14:textId="77777777" w:rsidR="00E8031B" w:rsidRPr="00125CD6"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Our water system partners with others to help consumers with limited resources make payments to their water bills</w:t>
      </w:r>
      <w:r w:rsidRPr="00125CD6">
        <w:rPr>
          <w:rFonts w:asciiTheme="minorHAnsi" w:eastAsia="Times New Roman" w:hAnsiTheme="minorHAnsi" w:cstheme="minorHAnsi"/>
          <w:color w:val="0E101A"/>
          <w:szCs w:val="24"/>
        </w:rPr>
        <w:t>.</w:t>
      </w:r>
    </w:p>
    <w:p w14:paraId="2E79E739" w14:textId="77777777" w:rsidR="00E8031B" w:rsidRPr="00490085"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Contact us to learn more.</w:t>
      </w:r>
    </w:p>
    <w:p w14:paraId="23DE523C" w14:textId="6EC5158F" w:rsidR="002C7D1F" w:rsidRDefault="002C7D1F" w:rsidP="00CC1542">
      <w:pPr>
        <w:rPr>
          <w:rFonts w:ascii="Arial" w:hAnsi="Arial" w:cs="Arial"/>
          <w:sz w:val="20"/>
          <w:szCs w:val="20"/>
        </w:rPr>
      </w:pPr>
    </w:p>
    <w:p w14:paraId="19D91479" w14:textId="77777777" w:rsidR="00E8031B" w:rsidRDefault="00E8031B" w:rsidP="00CC1542">
      <w:pPr>
        <w:rPr>
          <w:rFonts w:ascii="Arial" w:hAnsi="Arial" w:cs="Arial"/>
          <w:sz w:val="20"/>
          <w:szCs w:val="20"/>
        </w:rPr>
      </w:pPr>
    </w:p>
    <w:p w14:paraId="7A81A384" w14:textId="23EDD4C2" w:rsidR="000B064F" w:rsidRPr="000B064F" w:rsidRDefault="000B064F" w:rsidP="00CC1542">
      <w:pPr>
        <w:rPr>
          <w:rFonts w:asciiTheme="minorHAnsi" w:hAnsiTheme="minorHAnsi" w:cstheme="minorHAnsi"/>
          <w:szCs w:val="24"/>
        </w:rPr>
      </w:pPr>
    </w:p>
    <w:tbl>
      <w:tblPr>
        <w:tblStyle w:val="TableGrid"/>
        <w:tblW w:w="0" w:type="auto"/>
        <w:tblLook w:val="04A0" w:firstRow="1" w:lastRow="0" w:firstColumn="1" w:lastColumn="0" w:noHBand="0" w:noVBand="1"/>
      </w:tblPr>
      <w:tblGrid>
        <w:gridCol w:w="10430"/>
      </w:tblGrid>
      <w:tr w:rsidR="00276A61" w14:paraId="20ABD0EB" w14:textId="77777777" w:rsidTr="00276A61">
        <w:tc>
          <w:tcPr>
            <w:tcW w:w="10430" w:type="dxa"/>
            <w:tcBorders>
              <w:top w:val="nil"/>
              <w:left w:val="nil"/>
              <w:bottom w:val="nil"/>
              <w:right w:val="nil"/>
            </w:tcBorders>
          </w:tcPr>
          <w:p w14:paraId="4559CA1F" w14:textId="77777777" w:rsidR="00276A61" w:rsidRDefault="00276A61" w:rsidP="00CC1542">
            <w:pPr>
              <w:rPr>
                <w:rFonts w:ascii="Arial" w:hAnsi="Arial" w:cs="Arial"/>
                <w:sz w:val="20"/>
                <w:szCs w:val="20"/>
              </w:rPr>
            </w:pPr>
          </w:p>
        </w:tc>
      </w:tr>
    </w:tbl>
    <w:p w14:paraId="2BA226A1" w14:textId="77777777" w:rsidR="00776F8E" w:rsidRPr="00FF4431" w:rsidRDefault="00776F8E" w:rsidP="00CC1542">
      <w:pPr>
        <w:rPr>
          <w:rFonts w:ascii="Arial" w:hAnsi="Arial" w:cs="Arial"/>
          <w:sz w:val="20"/>
          <w:szCs w:val="20"/>
        </w:rPr>
      </w:pPr>
    </w:p>
    <w:sectPr w:rsidR="00776F8E"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FC99" w14:textId="77777777" w:rsidR="00D26FEE" w:rsidRDefault="00D26FEE" w:rsidP="00D36495">
      <w:r>
        <w:separator/>
      </w:r>
    </w:p>
  </w:endnote>
  <w:endnote w:type="continuationSeparator" w:id="0">
    <w:p w14:paraId="4A0D8734" w14:textId="77777777" w:rsidR="00D26FEE" w:rsidRDefault="00D26FE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1050002</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1050002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307C" w14:textId="77777777" w:rsidR="00D26FEE" w:rsidRDefault="00D26FEE" w:rsidP="00D36495">
      <w:r>
        <w:separator/>
      </w:r>
    </w:p>
  </w:footnote>
  <w:footnote w:type="continuationSeparator" w:id="0">
    <w:p w14:paraId="46B14742" w14:textId="77777777" w:rsidR="00D26FEE" w:rsidRDefault="00D26FEE"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B32594"/>
    <w:multiLevelType w:val="hybridMultilevel"/>
    <w:tmpl w:val="12F48EB2"/>
    <w:lvl w:ilvl="0" w:tplc="C2F4AC7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0FDF"/>
    <w:multiLevelType w:val="hybridMultilevel"/>
    <w:tmpl w:val="9454E400"/>
    <w:lvl w:ilvl="0" w:tplc="C2F4AC7C">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5741D"/>
    <w:multiLevelType w:val="hybridMultilevel"/>
    <w:tmpl w:val="EC180AC4"/>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161136"/>
    <w:multiLevelType w:val="hybridMultilevel"/>
    <w:tmpl w:val="145EBF36"/>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B5F89"/>
    <w:multiLevelType w:val="hybridMultilevel"/>
    <w:tmpl w:val="48323C12"/>
    <w:lvl w:ilvl="0" w:tplc="C2F4AC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7E0F6F"/>
    <w:multiLevelType w:val="multilevel"/>
    <w:tmpl w:val="578E75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F6470"/>
    <w:multiLevelType w:val="hybridMultilevel"/>
    <w:tmpl w:val="CABE93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80779057">
    <w:abstractNumId w:val="1"/>
  </w:num>
  <w:num w:numId="2" w16cid:durableId="420839039">
    <w:abstractNumId w:val="0"/>
  </w:num>
  <w:num w:numId="3" w16cid:durableId="1205365124">
    <w:abstractNumId w:val="18"/>
  </w:num>
  <w:num w:numId="4" w16cid:durableId="2048332844">
    <w:abstractNumId w:val="40"/>
  </w:num>
  <w:num w:numId="5" w16cid:durableId="1494374350">
    <w:abstractNumId w:val="5"/>
  </w:num>
  <w:num w:numId="6" w16cid:durableId="1338653159">
    <w:abstractNumId w:val="3"/>
  </w:num>
  <w:num w:numId="7" w16cid:durableId="74478033">
    <w:abstractNumId w:val="8"/>
  </w:num>
  <w:num w:numId="8" w16cid:durableId="233206442">
    <w:abstractNumId w:val="30"/>
  </w:num>
  <w:num w:numId="9" w16cid:durableId="1791850009">
    <w:abstractNumId w:val="13"/>
  </w:num>
  <w:num w:numId="10" w16cid:durableId="347298011">
    <w:abstractNumId w:val="27"/>
  </w:num>
  <w:num w:numId="11" w16cid:durableId="1669481817">
    <w:abstractNumId w:val="15"/>
  </w:num>
  <w:num w:numId="12" w16cid:durableId="1512253695">
    <w:abstractNumId w:val="19"/>
  </w:num>
  <w:num w:numId="13" w16cid:durableId="1805271701">
    <w:abstractNumId w:val="37"/>
  </w:num>
  <w:num w:numId="14" w16cid:durableId="1618609435">
    <w:abstractNumId w:val="10"/>
  </w:num>
  <w:num w:numId="15" w16cid:durableId="852453995">
    <w:abstractNumId w:val="38"/>
  </w:num>
  <w:num w:numId="16" w16cid:durableId="803616065">
    <w:abstractNumId w:val="12"/>
  </w:num>
  <w:num w:numId="17" w16cid:durableId="975453839">
    <w:abstractNumId w:val="36"/>
  </w:num>
  <w:num w:numId="18" w16cid:durableId="380860237">
    <w:abstractNumId w:val="34"/>
  </w:num>
  <w:num w:numId="19" w16cid:durableId="1170948143">
    <w:abstractNumId w:val="32"/>
  </w:num>
  <w:num w:numId="20" w16cid:durableId="384109890">
    <w:abstractNumId w:val="9"/>
  </w:num>
  <w:num w:numId="21" w16cid:durableId="567300851">
    <w:abstractNumId w:val="29"/>
  </w:num>
  <w:num w:numId="22" w16cid:durableId="1737050344">
    <w:abstractNumId w:val="21"/>
  </w:num>
  <w:num w:numId="23" w16cid:durableId="857741108">
    <w:abstractNumId w:val="17"/>
  </w:num>
  <w:num w:numId="24" w16cid:durableId="75909613">
    <w:abstractNumId w:val="4"/>
  </w:num>
  <w:num w:numId="25" w16cid:durableId="1450391212">
    <w:abstractNumId w:val="6"/>
  </w:num>
  <w:num w:numId="26" w16cid:durableId="1192644258">
    <w:abstractNumId w:val="35"/>
  </w:num>
  <w:num w:numId="27" w16cid:durableId="392390825">
    <w:abstractNumId w:val="22"/>
  </w:num>
  <w:num w:numId="28" w16cid:durableId="580719292">
    <w:abstractNumId w:val="28"/>
  </w:num>
  <w:num w:numId="29" w16cid:durableId="42796144">
    <w:abstractNumId w:val="33"/>
  </w:num>
  <w:num w:numId="30" w16cid:durableId="932132488">
    <w:abstractNumId w:val="20"/>
  </w:num>
  <w:num w:numId="31" w16cid:durableId="108665189">
    <w:abstractNumId w:val="14"/>
  </w:num>
  <w:num w:numId="32" w16cid:durableId="1985505682">
    <w:abstractNumId w:val="31"/>
  </w:num>
  <w:num w:numId="33" w16cid:durableId="1910380333">
    <w:abstractNumId w:val="23"/>
  </w:num>
  <w:num w:numId="34" w16cid:durableId="1604875432">
    <w:abstractNumId w:val="2"/>
  </w:num>
  <w:num w:numId="35" w16cid:durableId="846865153">
    <w:abstractNumId w:val="39"/>
  </w:num>
  <w:num w:numId="36" w16cid:durableId="1753693902">
    <w:abstractNumId w:val="25"/>
  </w:num>
  <w:num w:numId="37" w16cid:durableId="1290010670">
    <w:abstractNumId w:val="26"/>
  </w:num>
  <w:num w:numId="38" w16cid:durableId="144014098">
    <w:abstractNumId w:val="24"/>
  </w:num>
  <w:num w:numId="39" w16cid:durableId="549460797">
    <w:abstractNumId w:val="16"/>
  </w:num>
  <w:num w:numId="40" w16cid:durableId="311757425">
    <w:abstractNumId w:val="11"/>
  </w:num>
  <w:num w:numId="41" w16cid:durableId="17675797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4462"/>
    <w:rsid w:val="000050B3"/>
    <w:rsid w:val="0000588B"/>
    <w:rsid w:val="00006C0D"/>
    <w:rsid w:val="00006CDB"/>
    <w:rsid w:val="00006F4E"/>
    <w:rsid w:val="00007022"/>
    <w:rsid w:val="000074DC"/>
    <w:rsid w:val="000075C5"/>
    <w:rsid w:val="00007995"/>
    <w:rsid w:val="00010174"/>
    <w:rsid w:val="00010828"/>
    <w:rsid w:val="00010DF4"/>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0CB"/>
    <w:rsid w:val="000273D5"/>
    <w:rsid w:val="00027AA8"/>
    <w:rsid w:val="00027C37"/>
    <w:rsid w:val="00030196"/>
    <w:rsid w:val="00030EC2"/>
    <w:rsid w:val="00031F02"/>
    <w:rsid w:val="00032B98"/>
    <w:rsid w:val="00032F92"/>
    <w:rsid w:val="00033010"/>
    <w:rsid w:val="00033BA3"/>
    <w:rsid w:val="00034366"/>
    <w:rsid w:val="0003441B"/>
    <w:rsid w:val="0003590B"/>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19F"/>
    <w:rsid w:val="000927CB"/>
    <w:rsid w:val="000933AA"/>
    <w:rsid w:val="00093838"/>
    <w:rsid w:val="00093EC5"/>
    <w:rsid w:val="00093F5A"/>
    <w:rsid w:val="000944C9"/>
    <w:rsid w:val="00094BF1"/>
    <w:rsid w:val="00094E86"/>
    <w:rsid w:val="00095135"/>
    <w:rsid w:val="0009516B"/>
    <w:rsid w:val="00095B63"/>
    <w:rsid w:val="000962C1"/>
    <w:rsid w:val="000966CC"/>
    <w:rsid w:val="00096F26"/>
    <w:rsid w:val="00097DA4"/>
    <w:rsid w:val="000A1B6D"/>
    <w:rsid w:val="000A21CE"/>
    <w:rsid w:val="000A28A9"/>
    <w:rsid w:val="000A2FB5"/>
    <w:rsid w:val="000A34A7"/>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4F"/>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58A8"/>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27F62"/>
    <w:rsid w:val="001306BF"/>
    <w:rsid w:val="00130B66"/>
    <w:rsid w:val="001328FE"/>
    <w:rsid w:val="00133CB3"/>
    <w:rsid w:val="0013434B"/>
    <w:rsid w:val="0013592C"/>
    <w:rsid w:val="00135DE5"/>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249"/>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25C6"/>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44F"/>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317"/>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76A61"/>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D1F"/>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247"/>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0E"/>
    <w:rsid w:val="00304A4C"/>
    <w:rsid w:val="003050F9"/>
    <w:rsid w:val="0030560B"/>
    <w:rsid w:val="00305D90"/>
    <w:rsid w:val="00305DA7"/>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61B6"/>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4D06"/>
    <w:rsid w:val="00335CF3"/>
    <w:rsid w:val="0033678C"/>
    <w:rsid w:val="00337903"/>
    <w:rsid w:val="00337B35"/>
    <w:rsid w:val="00337EC8"/>
    <w:rsid w:val="003400B7"/>
    <w:rsid w:val="0034028B"/>
    <w:rsid w:val="0034066F"/>
    <w:rsid w:val="00340F82"/>
    <w:rsid w:val="003411ED"/>
    <w:rsid w:val="00341AAA"/>
    <w:rsid w:val="00341C88"/>
    <w:rsid w:val="00343F4C"/>
    <w:rsid w:val="0034420E"/>
    <w:rsid w:val="00344720"/>
    <w:rsid w:val="00344A88"/>
    <w:rsid w:val="00344FE7"/>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4A1B"/>
    <w:rsid w:val="00354B7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5E"/>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268"/>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4BB2"/>
    <w:rsid w:val="003B4BCC"/>
    <w:rsid w:val="003B50D0"/>
    <w:rsid w:val="003B608A"/>
    <w:rsid w:val="003B64CE"/>
    <w:rsid w:val="003B6601"/>
    <w:rsid w:val="003C025C"/>
    <w:rsid w:val="003C088D"/>
    <w:rsid w:val="003C1820"/>
    <w:rsid w:val="003C2711"/>
    <w:rsid w:val="003C291F"/>
    <w:rsid w:val="003C5020"/>
    <w:rsid w:val="003C6975"/>
    <w:rsid w:val="003C6AEC"/>
    <w:rsid w:val="003C6BB4"/>
    <w:rsid w:val="003C6E88"/>
    <w:rsid w:val="003C7BE2"/>
    <w:rsid w:val="003D04A1"/>
    <w:rsid w:val="003D0CEA"/>
    <w:rsid w:val="003D12B4"/>
    <w:rsid w:val="003D14A4"/>
    <w:rsid w:val="003D22A8"/>
    <w:rsid w:val="003D2940"/>
    <w:rsid w:val="003D2D4D"/>
    <w:rsid w:val="003D314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1F2"/>
    <w:rsid w:val="003F4A23"/>
    <w:rsid w:val="003F4C0C"/>
    <w:rsid w:val="003F52E1"/>
    <w:rsid w:val="003F555C"/>
    <w:rsid w:val="003F5CDF"/>
    <w:rsid w:val="003F5D47"/>
    <w:rsid w:val="003F5D83"/>
    <w:rsid w:val="003F67FB"/>
    <w:rsid w:val="003F6906"/>
    <w:rsid w:val="003F6CFB"/>
    <w:rsid w:val="003F73DA"/>
    <w:rsid w:val="003F7BEE"/>
    <w:rsid w:val="004005DF"/>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2D5"/>
    <w:rsid w:val="004425A1"/>
    <w:rsid w:val="004439D5"/>
    <w:rsid w:val="00443B09"/>
    <w:rsid w:val="0044442D"/>
    <w:rsid w:val="00445B5F"/>
    <w:rsid w:val="00446E01"/>
    <w:rsid w:val="0044794C"/>
    <w:rsid w:val="00450142"/>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6AAE"/>
    <w:rsid w:val="00457FA9"/>
    <w:rsid w:val="00461052"/>
    <w:rsid w:val="004610A6"/>
    <w:rsid w:val="00461DB9"/>
    <w:rsid w:val="0046234F"/>
    <w:rsid w:val="00462982"/>
    <w:rsid w:val="00465281"/>
    <w:rsid w:val="00465429"/>
    <w:rsid w:val="00465D7B"/>
    <w:rsid w:val="00466070"/>
    <w:rsid w:val="00466963"/>
    <w:rsid w:val="004671AE"/>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5E2F"/>
    <w:rsid w:val="00475F19"/>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183F"/>
    <w:rsid w:val="004A29A1"/>
    <w:rsid w:val="004A3891"/>
    <w:rsid w:val="004A3B5F"/>
    <w:rsid w:val="004A42F1"/>
    <w:rsid w:val="004A446E"/>
    <w:rsid w:val="004A4BD5"/>
    <w:rsid w:val="004A590A"/>
    <w:rsid w:val="004A59E6"/>
    <w:rsid w:val="004A5CB4"/>
    <w:rsid w:val="004A60EC"/>
    <w:rsid w:val="004A6C2A"/>
    <w:rsid w:val="004B0BF4"/>
    <w:rsid w:val="004B0FF2"/>
    <w:rsid w:val="004B10DC"/>
    <w:rsid w:val="004B1291"/>
    <w:rsid w:val="004B134E"/>
    <w:rsid w:val="004B1843"/>
    <w:rsid w:val="004B1B03"/>
    <w:rsid w:val="004B1BB7"/>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36E4"/>
    <w:rsid w:val="004C4723"/>
    <w:rsid w:val="004C52E1"/>
    <w:rsid w:val="004C55C9"/>
    <w:rsid w:val="004C5A39"/>
    <w:rsid w:val="004C5EE7"/>
    <w:rsid w:val="004C610F"/>
    <w:rsid w:val="004C6659"/>
    <w:rsid w:val="004C6E16"/>
    <w:rsid w:val="004C71E8"/>
    <w:rsid w:val="004C7793"/>
    <w:rsid w:val="004C78D2"/>
    <w:rsid w:val="004D0731"/>
    <w:rsid w:val="004D0F08"/>
    <w:rsid w:val="004D155D"/>
    <w:rsid w:val="004D184E"/>
    <w:rsid w:val="004D1A38"/>
    <w:rsid w:val="004D1DEA"/>
    <w:rsid w:val="004D2244"/>
    <w:rsid w:val="004D2D65"/>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99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6AE"/>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0BE"/>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3445"/>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2DB"/>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A81"/>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33"/>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812"/>
    <w:rsid w:val="006D0A93"/>
    <w:rsid w:val="006D1235"/>
    <w:rsid w:val="006D12CD"/>
    <w:rsid w:val="006D248C"/>
    <w:rsid w:val="006D2D2A"/>
    <w:rsid w:val="006D351E"/>
    <w:rsid w:val="006D36BF"/>
    <w:rsid w:val="006D36EA"/>
    <w:rsid w:val="006D430B"/>
    <w:rsid w:val="006D43D8"/>
    <w:rsid w:val="006D592D"/>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6F7D3B"/>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B15"/>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C23"/>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203"/>
    <w:rsid w:val="00774493"/>
    <w:rsid w:val="00775188"/>
    <w:rsid w:val="00775223"/>
    <w:rsid w:val="00775243"/>
    <w:rsid w:val="007756B7"/>
    <w:rsid w:val="00775E97"/>
    <w:rsid w:val="00776F8E"/>
    <w:rsid w:val="007773DD"/>
    <w:rsid w:val="0077741D"/>
    <w:rsid w:val="007779CB"/>
    <w:rsid w:val="00777DF4"/>
    <w:rsid w:val="00780074"/>
    <w:rsid w:val="00780611"/>
    <w:rsid w:val="0078100B"/>
    <w:rsid w:val="00782101"/>
    <w:rsid w:val="00782710"/>
    <w:rsid w:val="00782937"/>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704"/>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0ECA"/>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0876"/>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0BC4"/>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33C"/>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64F"/>
    <w:rsid w:val="008B1AA2"/>
    <w:rsid w:val="008B32CC"/>
    <w:rsid w:val="008B34C8"/>
    <w:rsid w:val="008B3A6E"/>
    <w:rsid w:val="008B3ED6"/>
    <w:rsid w:val="008B4BA1"/>
    <w:rsid w:val="008B5734"/>
    <w:rsid w:val="008B58FD"/>
    <w:rsid w:val="008B5B0A"/>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85"/>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5DD0"/>
    <w:rsid w:val="00956113"/>
    <w:rsid w:val="00956A8A"/>
    <w:rsid w:val="00956A8D"/>
    <w:rsid w:val="00957E24"/>
    <w:rsid w:val="009610E4"/>
    <w:rsid w:val="00961114"/>
    <w:rsid w:val="00961786"/>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EC9"/>
    <w:rsid w:val="00972F8B"/>
    <w:rsid w:val="009739AE"/>
    <w:rsid w:val="00973BE2"/>
    <w:rsid w:val="00973C93"/>
    <w:rsid w:val="009749BB"/>
    <w:rsid w:val="00974CE5"/>
    <w:rsid w:val="00974DFA"/>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101"/>
    <w:rsid w:val="00992455"/>
    <w:rsid w:val="00992BDE"/>
    <w:rsid w:val="009934B2"/>
    <w:rsid w:val="00993AA3"/>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CDF"/>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E44"/>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29A7"/>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256A"/>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BB3"/>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792"/>
    <w:rsid w:val="00A21E64"/>
    <w:rsid w:val="00A22B0A"/>
    <w:rsid w:val="00A22E2C"/>
    <w:rsid w:val="00A255AD"/>
    <w:rsid w:val="00A25FA7"/>
    <w:rsid w:val="00A263AD"/>
    <w:rsid w:val="00A2647B"/>
    <w:rsid w:val="00A27516"/>
    <w:rsid w:val="00A27624"/>
    <w:rsid w:val="00A277DA"/>
    <w:rsid w:val="00A30D92"/>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0D6F"/>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6CCC"/>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33A"/>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4B83"/>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1E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297"/>
    <w:rsid w:val="00B36AB7"/>
    <w:rsid w:val="00B405E5"/>
    <w:rsid w:val="00B41121"/>
    <w:rsid w:val="00B41234"/>
    <w:rsid w:val="00B41DA3"/>
    <w:rsid w:val="00B43277"/>
    <w:rsid w:val="00B4332B"/>
    <w:rsid w:val="00B444E7"/>
    <w:rsid w:val="00B44D3C"/>
    <w:rsid w:val="00B4589D"/>
    <w:rsid w:val="00B46C60"/>
    <w:rsid w:val="00B46F9C"/>
    <w:rsid w:val="00B5004D"/>
    <w:rsid w:val="00B5042A"/>
    <w:rsid w:val="00B50662"/>
    <w:rsid w:val="00B5274A"/>
    <w:rsid w:val="00B52972"/>
    <w:rsid w:val="00B542B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5D85"/>
    <w:rsid w:val="00B76959"/>
    <w:rsid w:val="00B76C50"/>
    <w:rsid w:val="00B7764E"/>
    <w:rsid w:val="00B77C68"/>
    <w:rsid w:val="00B814E5"/>
    <w:rsid w:val="00B81E08"/>
    <w:rsid w:val="00B826F2"/>
    <w:rsid w:val="00B83CDD"/>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6D30"/>
    <w:rsid w:val="00BC73FF"/>
    <w:rsid w:val="00BD13D1"/>
    <w:rsid w:val="00BD1B21"/>
    <w:rsid w:val="00BD1DC2"/>
    <w:rsid w:val="00BD20BA"/>
    <w:rsid w:val="00BD33D2"/>
    <w:rsid w:val="00BD3455"/>
    <w:rsid w:val="00BD46B4"/>
    <w:rsid w:val="00BD4C26"/>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47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1CE"/>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094"/>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39E8"/>
    <w:rsid w:val="00CA46B3"/>
    <w:rsid w:val="00CA5A92"/>
    <w:rsid w:val="00CA618D"/>
    <w:rsid w:val="00CA6265"/>
    <w:rsid w:val="00CA653F"/>
    <w:rsid w:val="00CB06DA"/>
    <w:rsid w:val="00CB08E5"/>
    <w:rsid w:val="00CB0A7F"/>
    <w:rsid w:val="00CB1977"/>
    <w:rsid w:val="00CB1C2A"/>
    <w:rsid w:val="00CB21EC"/>
    <w:rsid w:val="00CB268D"/>
    <w:rsid w:val="00CB2694"/>
    <w:rsid w:val="00CB286C"/>
    <w:rsid w:val="00CB2D78"/>
    <w:rsid w:val="00CB3666"/>
    <w:rsid w:val="00CB3ADE"/>
    <w:rsid w:val="00CB3DE2"/>
    <w:rsid w:val="00CB3E9D"/>
    <w:rsid w:val="00CB4CE4"/>
    <w:rsid w:val="00CB50F7"/>
    <w:rsid w:val="00CB56DE"/>
    <w:rsid w:val="00CB5EE0"/>
    <w:rsid w:val="00CB7027"/>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5A8"/>
    <w:rsid w:val="00CC5BCE"/>
    <w:rsid w:val="00CC6150"/>
    <w:rsid w:val="00CC650A"/>
    <w:rsid w:val="00CC687D"/>
    <w:rsid w:val="00CC6A12"/>
    <w:rsid w:val="00CC713C"/>
    <w:rsid w:val="00CD02EF"/>
    <w:rsid w:val="00CD03B8"/>
    <w:rsid w:val="00CD0FA2"/>
    <w:rsid w:val="00CD1B04"/>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0059"/>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6FEE"/>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D4"/>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8A5"/>
    <w:rsid w:val="00D60A24"/>
    <w:rsid w:val="00D60D51"/>
    <w:rsid w:val="00D60DD4"/>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39E"/>
    <w:rsid w:val="00DC2A2E"/>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1762"/>
    <w:rsid w:val="00E322BE"/>
    <w:rsid w:val="00E332F9"/>
    <w:rsid w:val="00E335BA"/>
    <w:rsid w:val="00E34975"/>
    <w:rsid w:val="00E35C6E"/>
    <w:rsid w:val="00E35E7D"/>
    <w:rsid w:val="00E36105"/>
    <w:rsid w:val="00E363EE"/>
    <w:rsid w:val="00E36536"/>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2FBF"/>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6721B"/>
    <w:rsid w:val="00E70320"/>
    <w:rsid w:val="00E704CC"/>
    <w:rsid w:val="00E70696"/>
    <w:rsid w:val="00E71CA5"/>
    <w:rsid w:val="00E72654"/>
    <w:rsid w:val="00E72F0E"/>
    <w:rsid w:val="00E73490"/>
    <w:rsid w:val="00E745EC"/>
    <w:rsid w:val="00E74E00"/>
    <w:rsid w:val="00E74F73"/>
    <w:rsid w:val="00E75997"/>
    <w:rsid w:val="00E75DA7"/>
    <w:rsid w:val="00E767F8"/>
    <w:rsid w:val="00E76C8D"/>
    <w:rsid w:val="00E76DDD"/>
    <w:rsid w:val="00E76E37"/>
    <w:rsid w:val="00E77B5C"/>
    <w:rsid w:val="00E8031B"/>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6265"/>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62F5"/>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422"/>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604"/>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0B9E"/>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2A0"/>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7E"/>
    <w:rsid w:val="00F923C3"/>
    <w:rsid w:val="00F92CDF"/>
    <w:rsid w:val="00F92EF7"/>
    <w:rsid w:val="00F9300D"/>
    <w:rsid w:val="00F931D2"/>
    <w:rsid w:val="00F93263"/>
    <w:rsid w:val="00F948D3"/>
    <w:rsid w:val="00F958C7"/>
    <w:rsid w:val="00F964A9"/>
    <w:rsid w:val="00F96FF5"/>
    <w:rsid w:val="00F9713D"/>
    <w:rsid w:val="00F976B7"/>
    <w:rsid w:val="00FA0363"/>
    <w:rsid w:val="00FA1156"/>
    <w:rsid w:val="00FA1712"/>
    <w:rsid w:val="00FA272B"/>
    <w:rsid w:val="00FA2A28"/>
    <w:rsid w:val="00FA2D61"/>
    <w:rsid w:val="00FA3710"/>
    <w:rsid w:val="00FA45D6"/>
    <w:rsid w:val="00FA4AF8"/>
    <w:rsid w:val="00FA64CE"/>
    <w:rsid w:val="00FA6D1D"/>
    <w:rsid w:val="00FA7541"/>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4FD9"/>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17427F4"/>
    <w:rsid w:val="324A25F9"/>
    <w:rsid w:val="32F7B96B"/>
    <w:rsid w:val="46F598C6"/>
    <w:rsid w:val="4ADC9107"/>
    <w:rsid w:val="4BC05DFB"/>
    <w:rsid w:val="4CE1C69F"/>
    <w:rsid w:val="4F2EDCA5"/>
    <w:rsid w:val="62E5C615"/>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76A61"/>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317"/>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598978058">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fs/common.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151</TotalTime>
  <Pages>7</Pages>
  <Words>2271</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Julie Fandel</cp:lastModifiedBy>
  <cp:revision>1</cp:revision>
  <cp:lastPrinted>2016-12-14T18:03:00Z</cp:lastPrinted>
  <dcterms:created xsi:type="dcterms:W3CDTF">2023-01-24T18:57:00Z</dcterms:created>
  <dcterms:modified xsi:type="dcterms:W3CDTF">2023-04-03T14:28:00Z</dcterms:modified>
</cp:coreProperties>
</file>